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49" w:rsidRDefault="00F9169D">
      <w:pPr>
        <w:pStyle w:val="GvdeMetni"/>
        <w:spacing w:before="76"/>
        <w:ind w:left="421" w:right="699"/>
        <w:jc w:val="center"/>
      </w:pPr>
      <w:r>
        <w:t>PERSONEL DAİRE</w:t>
      </w:r>
      <w:r w:rsidR="00095308">
        <w:rPr>
          <w:spacing w:val="-6"/>
        </w:rPr>
        <w:t xml:space="preserve"> </w:t>
      </w:r>
      <w:r w:rsidR="00095308">
        <w:rPr>
          <w:spacing w:val="-2"/>
        </w:rPr>
        <w:t>BAŞKANLIĞI</w:t>
      </w:r>
    </w:p>
    <w:p w:rsidR="005E3649" w:rsidRDefault="00095308">
      <w:pPr>
        <w:pStyle w:val="GvdeMetni"/>
        <w:spacing w:before="2"/>
        <w:ind w:left="421" w:right="695"/>
        <w:jc w:val="center"/>
      </w:pPr>
      <w:r>
        <w:t>2024</w:t>
      </w:r>
      <w:r>
        <w:rPr>
          <w:spacing w:val="-10"/>
        </w:rPr>
        <w:t xml:space="preserve"> </w:t>
      </w:r>
      <w:r>
        <w:t>YILI</w:t>
      </w:r>
      <w:r>
        <w:rPr>
          <w:spacing w:val="-4"/>
        </w:rPr>
        <w:t xml:space="preserve"> </w:t>
      </w:r>
      <w:r>
        <w:t>BİRİM</w:t>
      </w:r>
      <w:r>
        <w:rPr>
          <w:spacing w:val="-8"/>
        </w:rPr>
        <w:t xml:space="preserve"> </w:t>
      </w:r>
      <w:r>
        <w:t>HEDEFLERİ,</w:t>
      </w:r>
      <w:r>
        <w:rPr>
          <w:spacing w:val="-4"/>
        </w:rPr>
        <w:t xml:space="preserve"> </w:t>
      </w:r>
      <w:r>
        <w:t>ÖNÜNDEKİ</w:t>
      </w:r>
      <w:r>
        <w:rPr>
          <w:spacing w:val="-7"/>
        </w:rPr>
        <w:t xml:space="preserve"> </w:t>
      </w:r>
      <w:r>
        <w:t>RİSKLER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GERÇEKLEŞME</w:t>
      </w:r>
      <w:r>
        <w:rPr>
          <w:spacing w:val="-6"/>
        </w:rPr>
        <w:t xml:space="preserve"> </w:t>
      </w:r>
      <w:r>
        <w:t>SONUÇLARI</w:t>
      </w:r>
      <w:r>
        <w:rPr>
          <w:spacing w:val="-4"/>
        </w:rPr>
        <w:t xml:space="preserve"> </w:t>
      </w:r>
      <w:r>
        <w:rPr>
          <w:spacing w:val="-2"/>
        </w:rPr>
        <w:t>TABLOSU</w:t>
      </w:r>
    </w:p>
    <w:p w:rsidR="005E3649" w:rsidRDefault="005E3649">
      <w:pPr>
        <w:rPr>
          <w:b/>
          <w:sz w:val="20"/>
        </w:rPr>
      </w:pPr>
    </w:p>
    <w:p w:rsidR="005E3649" w:rsidRDefault="005E3649">
      <w:pPr>
        <w:spacing w:before="151"/>
        <w:rPr>
          <w:b/>
          <w:sz w:val="20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416"/>
        <w:gridCol w:w="2835"/>
        <w:gridCol w:w="4112"/>
        <w:gridCol w:w="4965"/>
      </w:tblGrid>
      <w:tr w:rsidR="005E3649">
        <w:trPr>
          <w:trHeight w:val="760"/>
        </w:trPr>
        <w:tc>
          <w:tcPr>
            <w:tcW w:w="536" w:type="dxa"/>
            <w:shd w:val="clear" w:color="auto" w:fill="C5D9EF"/>
          </w:tcPr>
          <w:p w:rsidR="005E3649" w:rsidRDefault="00095308">
            <w:pPr>
              <w:pStyle w:val="TableParagraph"/>
              <w:spacing w:before="125"/>
              <w:ind w:left="86" w:right="20" w:hanging="102"/>
              <w:rPr>
                <w:b/>
              </w:rPr>
            </w:pPr>
            <w:r>
              <w:rPr>
                <w:b/>
                <w:spacing w:val="-6"/>
              </w:rPr>
              <w:t>SIRA NO</w:t>
            </w:r>
          </w:p>
        </w:tc>
        <w:tc>
          <w:tcPr>
            <w:tcW w:w="1416" w:type="dxa"/>
            <w:shd w:val="clear" w:color="auto" w:fill="C5D9EF"/>
          </w:tcPr>
          <w:p w:rsidR="005E3649" w:rsidRDefault="00095308">
            <w:pPr>
              <w:pStyle w:val="TableParagraph"/>
              <w:spacing w:line="252" w:lineRule="exact"/>
              <w:ind w:left="83" w:right="90" w:firstLine="5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İLGİLİ </w:t>
            </w:r>
            <w:r>
              <w:rPr>
                <w:b/>
                <w:spacing w:val="-4"/>
              </w:rPr>
              <w:t xml:space="preserve">STRATEJİK </w:t>
            </w:r>
            <w:r>
              <w:rPr>
                <w:b/>
                <w:spacing w:val="-2"/>
              </w:rPr>
              <w:t>HEDEF</w:t>
            </w:r>
          </w:p>
        </w:tc>
        <w:tc>
          <w:tcPr>
            <w:tcW w:w="2835" w:type="dxa"/>
            <w:shd w:val="clear" w:color="auto" w:fill="C5D9EF"/>
          </w:tcPr>
          <w:p w:rsidR="005E3649" w:rsidRDefault="00095308">
            <w:pPr>
              <w:pStyle w:val="TableParagraph"/>
              <w:spacing w:before="125"/>
              <w:ind w:left="760" w:hanging="209"/>
              <w:rPr>
                <w:b/>
              </w:rPr>
            </w:pPr>
            <w:r>
              <w:rPr>
                <w:b/>
                <w:spacing w:val="-2"/>
              </w:rPr>
              <w:t>2024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YILI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BİRİM HEDEFLERİ</w:t>
            </w:r>
          </w:p>
        </w:tc>
        <w:tc>
          <w:tcPr>
            <w:tcW w:w="4112" w:type="dxa"/>
            <w:shd w:val="clear" w:color="auto" w:fill="C5D9EF"/>
          </w:tcPr>
          <w:p w:rsidR="005E3649" w:rsidRDefault="00095308">
            <w:pPr>
              <w:pStyle w:val="TableParagraph"/>
              <w:spacing w:before="125"/>
              <w:ind w:left="445" w:right="100" w:hanging="324"/>
              <w:rPr>
                <w:b/>
              </w:rPr>
            </w:pPr>
            <w:r>
              <w:rPr>
                <w:b/>
                <w:spacing w:val="-2"/>
              </w:rPr>
              <w:t>HEDEFLERİN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 xml:space="preserve">GERÇEKLEŞMESİNİN </w:t>
            </w:r>
            <w:r>
              <w:rPr>
                <w:b/>
              </w:rPr>
              <w:t>ÖNÜNDE YER ALAN RİSKLER</w:t>
            </w:r>
          </w:p>
        </w:tc>
        <w:tc>
          <w:tcPr>
            <w:tcW w:w="4965" w:type="dxa"/>
            <w:shd w:val="clear" w:color="auto" w:fill="C5D9EF"/>
          </w:tcPr>
          <w:p w:rsidR="005E3649" w:rsidRDefault="00095308">
            <w:pPr>
              <w:pStyle w:val="TableParagraph"/>
              <w:spacing w:before="253"/>
              <w:ind w:left="467"/>
              <w:rPr>
                <w:b/>
              </w:rPr>
            </w:pPr>
            <w:r>
              <w:rPr>
                <w:b/>
              </w:rPr>
              <w:t>2024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YILI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HEDEF </w:t>
            </w:r>
            <w:r>
              <w:rPr>
                <w:b/>
                <w:spacing w:val="-2"/>
              </w:rPr>
              <w:t>GERÇEKLEŞMELERİ</w:t>
            </w:r>
          </w:p>
        </w:tc>
      </w:tr>
      <w:tr w:rsidR="00867898" w:rsidTr="000007B3">
        <w:trPr>
          <w:trHeight w:val="1665"/>
        </w:trPr>
        <w:tc>
          <w:tcPr>
            <w:tcW w:w="536" w:type="dxa"/>
          </w:tcPr>
          <w:p w:rsidR="00867898" w:rsidRDefault="00867898" w:rsidP="00867898">
            <w:pPr>
              <w:pStyle w:val="TableParagraph"/>
              <w:rPr>
                <w:b/>
                <w:sz w:val="24"/>
              </w:rPr>
            </w:pPr>
          </w:p>
          <w:p w:rsidR="00867898" w:rsidRDefault="00867898" w:rsidP="00867898">
            <w:pPr>
              <w:pStyle w:val="TableParagraph"/>
              <w:rPr>
                <w:b/>
                <w:sz w:val="24"/>
              </w:rPr>
            </w:pPr>
          </w:p>
          <w:p w:rsidR="00867898" w:rsidRDefault="00867898" w:rsidP="002C7AF6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867898" w:rsidRDefault="00867898" w:rsidP="00867898">
            <w:pPr>
              <w:pStyle w:val="TableParagraph"/>
              <w:rPr>
                <w:b/>
                <w:sz w:val="24"/>
              </w:rPr>
            </w:pPr>
          </w:p>
          <w:p w:rsidR="00867898" w:rsidRDefault="00867898" w:rsidP="00867898">
            <w:pPr>
              <w:pStyle w:val="TableParagraph"/>
              <w:rPr>
                <w:b/>
                <w:sz w:val="24"/>
              </w:rPr>
            </w:pPr>
          </w:p>
          <w:p w:rsidR="00867898" w:rsidRDefault="00867898" w:rsidP="002C7AF6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H.</w:t>
            </w:r>
            <w:r w:rsidR="00F24F82">
              <w:rPr>
                <w:spacing w:val="-2"/>
                <w:sz w:val="24"/>
              </w:rPr>
              <w:t>4.2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5" w:type="dxa"/>
          </w:tcPr>
          <w:p w:rsidR="00867898" w:rsidRDefault="00867898" w:rsidP="0086789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867898" w:rsidRDefault="00867898" w:rsidP="0086789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867898" w:rsidRPr="00867898" w:rsidRDefault="00867898" w:rsidP="00867898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67898">
              <w:rPr>
                <w:rFonts w:eastAsia="Calibri"/>
                <w:sz w:val="24"/>
                <w:szCs w:val="24"/>
              </w:rPr>
              <w:t>İnsan kaynaklarını güçlendirmek</w:t>
            </w:r>
          </w:p>
        </w:tc>
        <w:tc>
          <w:tcPr>
            <w:tcW w:w="4112" w:type="dxa"/>
          </w:tcPr>
          <w:p w:rsidR="00867898" w:rsidRDefault="00867898" w:rsidP="00867898">
            <w:pPr>
              <w:pStyle w:val="TableParagraph"/>
              <w:rPr>
                <w:b/>
                <w:sz w:val="24"/>
              </w:rPr>
            </w:pPr>
          </w:p>
          <w:p w:rsidR="00867898" w:rsidRDefault="00867898" w:rsidP="0086789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67898" w:rsidRDefault="00867898" w:rsidP="00867898">
            <w:pPr>
              <w:pStyle w:val="TableParagraph"/>
              <w:ind w:left="143" w:right="100"/>
              <w:rPr>
                <w:sz w:val="24"/>
              </w:rPr>
            </w:pPr>
            <w:r>
              <w:rPr>
                <w:sz w:val="24"/>
              </w:rPr>
              <w:t>Tasarruf tedbirleri kapsamında personel alımında kısıtlamalara gidilmesi.</w:t>
            </w:r>
          </w:p>
        </w:tc>
        <w:tc>
          <w:tcPr>
            <w:tcW w:w="4965" w:type="dxa"/>
            <w:shd w:val="clear" w:color="auto" w:fill="FF0000"/>
          </w:tcPr>
          <w:p w:rsidR="00867898" w:rsidRDefault="00867898" w:rsidP="00867898">
            <w:pPr>
              <w:pStyle w:val="TableParagraph"/>
              <w:spacing w:before="202"/>
              <w:rPr>
                <w:b/>
                <w:sz w:val="24"/>
              </w:rPr>
            </w:pPr>
          </w:p>
          <w:p w:rsidR="00867898" w:rsidRDefault="00867898" w:rsidP="00867898">
            <w:pPr>
              <w:pStyle w:val="TableParagraph"/>
              <w:ind w:left="87"/>
              <w:rPr>
                <w:sz w:val="24"/>
              </w:rPr>
            </w:pPr>
            <w:r w:rsidRPr="00867898">
              <w:rPr>
                <w:sz w:val="24"/>
              </w:rPr>
              <w:t>Cumhurbaşkanı 2024/7 sayılı genelgesinde belirtilen tasarruf tedbirleri nedeniyle, idari, işçi ve sözleşmeli personel alımlarında ihtiyaç giderilememiştir.</w:t>
            </w:r>
          </w:p>
        </w:tc>
      </w:tr>
      <w:tr w:rsidR="00867898" w:rsidTr="002C7AF6">
        <w:trPr>
          <w:trHeight w:val="1264"/>
        </w:trPr>
        <w:tc>
          <w:tcPr>
            <w:tcW w:w="536" w:type="dxa"/>
          </w:tcPr>
          <w:p w:rsidR="00867898" w:rsidRDefault="00867898" w:rsidP="00867898">
            <w:pPr>
              <w:pStyle w:val="TableParagraph"/>
              <w:rPr>
                <w:b/>
                <w:sz w:val="24"/>
              </w:rPr>
            </w:pPr>
          </w:p>
          <w:p w:rsidR="00867898" w:rsidRDefault="00867898" w:rsidP="00867898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867898" w:rsidRDefault="00867898" w:rsidP="00867898">
            <w:pPr>
              <w:pStyle w:val="TableParagraph"/>
              <w:spacing w:before="1"/>
              <w:ind w:left="2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867898" w:rsidRDefault="00867898" w:rsidP="00867898">
            <w:pPr>
              <w:pStyle w:val="TableParagraph"/>
              <w:rPr>
                <w:b/>
                <w:sz w:val="24"/>
              </w:rPr>
            </w:pPr>
          </w:p>
          <w:p w:rsidR="00867898" w:rsidRDefault="00867898" w:rsidP="00867898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867898" w:rsidRDefault="00867898" w:rsidP="00F24F82">
            <w:pPr>
              <w:pStyle w:val="TableParagraph"/>
              <w:ind w:left="4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H.</w:t>
            </w:r>
            <w:r w:rsidR="00F24F82">
              <w:rPr>
                <w:spacing w:val="-2"/>
                <w:sz w:val="24"/>
              </w:rPr>
              <w:t>4.2.</w:t>
            </w:r>
          </w:p>
        </w:tc>
        <w:tc>
          <w:tcPr>
            <w:tcW w:w="2835" w:type="dxa"/>
          </w:tcPr>
          <w:p w:rsidR="00867898" w:rsidRDefault="00867898" w:rsidP="00867898">
            <w:pPr>
              <w:pStyle w:val="TableParagraph"/>
              <w:spacing w:line="264" w:lineRule="exact"/>
              <w:ind w:left="109" w:right="41"/>
              <w:rPr>
                <w:rFonts w:eastAsia="Calibri"/>
                <w:sz w:val="20"/>
                <w:szCs w:val="20"/>
              </w:rPr>
            </w:pPr>
          </w:p>
          <w:p w:rsidR="00867898" w:rsidRDefault="00867898" w:rsidP="00867898">
            <w:pPr>
              <w:pStyle w:val="TableParagraph"/>
              <w:spacing w:line="264" w:lineRule="exact"/>
              <w:ind w:left="109" w:right="41"/>
              <w:rPr>
                <w:rFonts w:eastAsia="Calibri"/>
                <w:sz w:val="20"/>
                <w:szCs w:val="20"/>
              </w:rPr>
            </w:pPr>
          </w:p>
          <w:p w:rsidR="00867898" w:rsidRDefault="00867898" w:rsidP="00867898">
            <w:pPr>
              <w:pStyle w:val="TableParagraph"/>
              <w:spacing w:line="264" w:lineRule="exact"/>
              <w:ind w:right="41"/>
              <w:rPr>
                <w:sz w:val="24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67898">
              <w:rPr>
                <w:rFonts w:eastAsia="Calibri"/>
                <w:sz w:val="24"/>
                <w:szCs w:val="24"/>
              </w:rPr>
              <w:t>İdari personele hizmet içi eğitim verilmesi</w:t>
            </w:r>
            <w:r w:rsidRPr="00867898">
              <w:rPr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867898" w:rsidRDefault="00867898" w:rsidP="00867898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867898" w:rsidRDefault="00867898" w:rsidP="00867898">
            <w:pPr>
              <w:pStyle w:val="TableParagraph"/>
              <w:spacing w:before="17"/>
              <w:ind w:left="143" w:right="292"/>
              <w:rPr>
                <w:sz w:val="24"/>
              </w:rPr>
            </w:pPr>
            <w:r>
              <w:rPr>
                <w:sz w:val="24"/>
              </w:rPr>
              <w:t>Personelin ilgi göstermemesi.</w:t>
            </w:r>
          </w:p>
          <w:p w:rsidR="00867898" w:rsidRDefault="00867898" w:rsidP="00867898">
            <w:pPr>
              <w:pStyle w:val="TableParagraph"/>
              <w:spacing w:before="17"/>
              <w:ind w:left="143" w:right="292"/>
              <w:rPr>
                <w:sz w:val="24"/>
              </w:rPr>
            </w:pPr>
            <w:r>
              <w:rPr>
                <w:sz w:val="24"/>
              </w:rPr>
              <w:t>Birimlerdeki iş yoğunluğu.</w:t>
            </w:r>
          </w:p>
          <w:p w:rsidR="00867898" w:rsidRDefault="00867898" w:rsidP="00867898">
            <w:pPr>
              <w:pStyle w:val="TableParagraph"/>
              <w:spacing w:before="17"/>
              <w:ind w:left="143" w:right="292"/>
              <w:rPr>
                <w:sz w:val="24"/>
              </w:rPr>
            </w:pPr>
          </w:p>
        </w:tc>
        <w:tc>
          <w:tcPr>
            <w:tcW w:w="4965" w:type="dxa"/>
            <w:shd w:val="clear" w:color="auto" w:fill="92D050"/>
          </w:tcPr>
          <w:p w:rsidR="00867898" w:rsidRDefault="00867898" w:rsidP="00867898">
            <w:pPr>
              <w:pStyle w:val="TableParagraph"/>
              <w:rPr>
                <w:b/>
                <w:sz w:val="24"/>
              </w:rPr>
            </w:pPr>
          </w:p>
          <w:p w:rsidR="00867898" w:rsidRDefault="00867898" w:rsidP="002C7AF6">
            <w:pPr>
              <w:pStyle w:val="TableParagraph"/>
              <w:ind w:right="122"/>
              <w:rPr>
                <w:sz w:val="24"/>
              </w:rPr>
            </w:pPr>
            <w:r w:rsidRPr="00603D67">
              <w:rPr>
                <w:color w:val="000000" w:themeColor="text1"/>
              </w:rPr>
              <w:t>Üniversitemizde görev yapan idari/sözleşmeli/işçi kadrolarında bulunan personele 17 farklı konuda hizmet içi eğitim verilmiş, ilgili hedefe ulaşılmıştır.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867898" w:rsidTr="000007B3">
        <w:trPr>
          <w:trHeight w:val="2260"/>
        </w:trPr>
        <w:tc>
          <w:tcPr>
            <w:tcW w:w="536" w:type="dxa"/>
          </w:tcPr>
          <w:p w:rsidR="00867898" w:rsidRDefault="00867898" w:rsidP="00867898">
            <w:pPr>
              <w:pStyle w:val="TableParagraph"/>
              <w:rPr>
                <w:b/>
                <w:sz w:val="24"/>
              </w:rPr>
            </w:pPr>
          </w:p>
          <w:p w:rsidR="00867898" w:rsidRDefault="00867898" w:rsidP="00867898">
            <w:pPr>
              <w:pStyle w:val="TableParagraph"/>
              <w:rPr>
                <w:b/>
                <w:sz w:val="24"/>
              </w:rPr>
            </w:pPr>
          </w:p>
          <w:p w:rsidR="00867898" w:rsidRDefault="00867898" w:rsidP="00867898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867898" w:rsidRDefault="00867898" w:rsidP="00867898">
            <w:pPr>
              <w:pStyle w:val="TableParagraph"/>
              <w:spacing w:before="1"/>
              <w:ind w:left="2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867898" w:rsidRDefault="00867898" w:rsidP="00867898">
            <w:pPr>
              <w:pStyle w:val="TableParagraph"/>
              <w:rPr>
                <w:b/>
                <w:sz w:val="24"/>
              </w:rPr>
            </w:pPr>
          </w:p>
          <w:p w:rsidR="00867898" w:rsidRDefault="00867898" w:rsidP="00867898">
            <w:pPr>
              <w:pStyle w:val="TableParagraph"/>
              <w:rPr>
                <w:b/>
                <w:sz w:val="24"/>
              </w:rPr>
            </w:pPr>
          </w:p>
          <w:p w:rsidR="00867898" w:rsidRDefault="00867898" w:rsidP="00867898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867898" w:rsidRDefault="00F24F82" w:rsidP="00867898">
            <w:pPr>
              <w:pStyle w:val="TableParagraph"/>
              <w:spacing w:before="1"/>
              <w:ind w:left="4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H.4.2</w:t>
            </w:r>
            <w:r w:rsidR="00867898">
              <w:rPr>
                <w:spacing w:val="-2"/>
                <w:sz w:val="24"/>
              </w:rPr>
              <w:t>.</w:t>
            </w:r>
          </w:p>
        </w:tc>
        <w:tc>
          <w:tcPr>
            <w:tcW w:w="2835" w:type="dxa"/>
          </w:tcPr>
          <w:p w:rsidR="00867898" w:rsidRDefault="00867898" w:rsidP="00867898">
            <w:pPr>
              <w:pStyle w:val="NormalWeb"/>
              <w:shd w:val="clear" w:color="auto" w:fill="FFFFFF"/>
            </w:pPr>
          </w:p>
          <w:p w:rsidR="00867898" w:rsidRPr="00867898" w:rsidRDefault="00867898" w:rsidP="00867898">
            <w:pPr>
              <w:pStyle w:val="NormalWeb"/>
              <w:shd w:val="clear" w:color="auto" w:fill="FFFFFF"/>
            </w:pPr>
            <w:r w:rsidRPr="00867898">
              <w:t>Daire Başkanlığımızda kullanılan AKÜPER programının güncellenerek daha i</w:t>
            </w:r>
            <w:r>
              <w:t xml:space="preserve">şlevsel hale getirilmesi. </w:t>
            </w:r>
          </w:p>
          <w:p w:rsidR="00867898" w:rsidRDefault="00867898" w:rsidP="00867898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4112" w:type="dxa"/>
          </w:tcPr>
          <w:p w:rsidR="00867898" w:rsidRDefault="00867898" w:rsidP="00867898">
            <w:pPr>
              <w:pStyle w:val="TableParagraph"/>
              <w:spacing w:line="270" w:lineRule="atLeast"/>
              <w:ind w:left="143" w:right="100"/>
              <w:rPr>
                <w:sz w:val="24"/>
              </w:rPr>
            </w:pPr>
          </w:p>
          <w:p w:rsidR="00F24F82" w:rsidRDefault="00F24F82" w:rsidP="00867898">
            <w:pPr>
              <w:pStyle w:val="TableParagraph"/>
              <w:spacing w:line="270" w:lineRule="atLeast"/>
              <w:ind w:left="143" w:right="100"/>
              <w:rPr>
                <w:sz w:val="24"/>
              </w:rPr>
            </w:pPr>
          </w:p>
          <w:p w:rsidR="00F24F82" w:rsidRDefault="002C7AF6" w:rsidP="00867898">
            <w:pPr>
              <w:pStyle w:val="TableParagraph"/>
              <w:spacing w:line="270" w:lineRule="atLeast"/>
              <w:ind w:left="143" w:right="100"/>
              <w:rPr>
                <w:sz w:val="24"/>
              </w:rPr>
            </w:pPr>
            <w:r>
              <w:rPr>
                <w:sz w:val="24"/>
              </w:rPr>
              <w:t>Entegrasyon işlemlerinde birlikteliğin sağlanamaması.</w:t>
            </w:r>
          </w:p>
        </w:tc>
        <w:tc>
          <w:tcPr>
            <w:tcW w:w="4965" w:type="dxa"/>
            <w:shd w:val="clear" w:color="auto" w:fill="00B0F0"/>
          </w:tcPr>
          <w:p w:rsidR="00867898" w:rsidRDefault="00867898" w:rsidP="00867898">
            <w:pPr>
              <w:pStyle w:val="TableParagraph"/>
              <w:spacing w:before="3" w:line="232" w:lineRule="auto"/>
              <w:ind w:left="87" w:right="122"/>
              <w:rPr>
                <w:sz w:val="24"/>
              </w:rPr>
            </w:pPr>
          </w:p>
          <w:p w:rsidR="00867898" w:rsidRDefault="00867898" w:rsidP="00867898">
            <w:pPr>
              <w:pStyle w:val="TableParagraph"/>
              <w:spacing w:before="3" w:line="232" w:lineRule="auto"/>
              <w:ind w:left="87" w:right="122"/>
              <w:rPr>
                <w:sz w:val="24"/>
              </w:rPr>
            </w:pPr>
            <w:r>
              <w:rPr>
                <w:sz w:val="24"/>
              </w:rPr>
              <w:t>AKÜPER üzerinden ihtiyaçlar doğrultusunda Bilgi İşlem Daire Başkanlığı desteğiyle bilgilerde güncelleme ve eklemeler yapılm</w:t>
            </w:r>
            <w:r w:rsidR="00F24F82">
              <w:rPr>
                <w:sz w:val="24"/>
              </w:rPr>
              <w:t xml:space="preserve">ıştır. Ancak HİTAP üzerinde toplu veri girişlerinin aktarılmasında web servisi çalıştırılamadığı ve </w:t>
            </w:r>
            <w:proofErr w:type="spellStart"/>
            <w:r w:rsidR="00F24F82">
              <w:rPr>
                <w:sz w:val="24"/>
              </w:rPr>
              <w:t>SGK’dan</w:t>
            </w:r>
            <w:proofErr w:type="spellEnd"/>
            <w:r w:rsidR="00F24F82">
              <w:rPr>
                <w:sz w:val="24"/>
              </w:rPr>
              <w:t xml:space="preserve"> konu hakkında destek alınamadığından veri girişleri farklı bir metotla </w:t>
            </w:r>
            <w:proofErr w:type="spellStart"/>
            <w:r w:rsidR="00F24F82">
              <w:rPr>
                <w:sz w:val="24"/>
              </w:rPr>
              <w:t>HİTAP’a</w:t>
            </w:r>
            <w:proofErr w:type="spellEnd"/>
            <w:r w:rsidR="00F24F82">
              <w:rPr>
                <w:sz w:val="24"/>
              </w:rPr>
              <w:t xml:space="preserve"> </w:t>
            </w:r>
            <w:r w:rsidR="002C7AF6">
              <w:rPr>
                <w:sz w:val="24"/>
              </w:rPr>
              <w:t>akta</w:t>
            </w:r>
            <w:r w:rsidR="00F24F82">
              <w:rPr>
                <w:sz w:val="24"/>
              </w:rPr>
              <w:t xml:space="preserve">rılmaktadır. </w:t>
            </w:r>
            <w:r w:rsidR="000007B3">
              <w:rPr>
                <w:sz w:val="24"/>
              </w:rPr>
              <w:t>Çalışmalar devam etmektedir.</w:t>
            </w:r>
            <w:bookmarkStart w:id="0" w:name="_GoBack"/>
            <w:bookmarkEnd w:id="0"/>
          </w:p>
        </w:tc>
      </w:tr>
      <w:tr w:rsidR="00867898" w:rsidTr="000007B3">
        <w:trPr>
          <w:trHeight w:val="1342"/>
        </w:trPr>
        <w:tc>
          <w:tcPr>
            <w:tcW w:w="536" w:type="dxa"/>
          </w:tcPr>
          <w:p w:rsidR="00867898" w:rsidRDefault="00867898" w:rsidP="00867898">
            <w:pPr>
              <w:pStyle w:val="TableParagraph"/>
              <w:rPr>
                <w:b/>
                <w:sz w:val="24"/>
              </w:rPr>
            </w:pPr>
          </w:p>
          <w:p w:rsidR="00867898" w:rsidRDefault="00867898" w:rsidP="00867898">
            <w:pPr>
              <w:pStyle w:val="TableParagraph"/>
              <w:rPr>
                <w:b/>
                <w:sz w:val="24"/>
              </w:rPr>
            </w:pPr>
          </w:p>
          <w:p w:rsidR="00867898" w:rsidRDefault="00867898" w:rsidP="00867898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867898" w:rsidRDefault="00867898" w:rsidP="00867898">
            <w:pPr>
              <w:pStyle w:val="TableParagraph"/>
              <w:ind w:left="2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:rsidR="00867898" w:rsidRDefault="00867898" w:rsidP="00867898">
            <w:pPr>
              <w:pStyle w:val="TableParagraph"/>
              <w:rPr>
                <w:b/>
                <w:sz w:val="24"/>
              </w:rPr>
            </w:pPr>
          </w:p>
          <w:p w:rsidR="00867898" w:rsidRDefault="00867898" w:rsidP="00867898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867898" w:rsidRDefault="00F24F82" w:rsidP="00F24F82">
            <w:pPr>
              <w:pStyle w:val="TableParagraph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H.4.2</w:t>
            </w:r>
            <w:r w:rsidR="00867898">
              <w:rPr>
                <w:spacing w:val="-2"/>
                <w:sz w:val="24"/>
              </w:rPr>
              <w:t>.</w:t>
            </w:r>
            <w:r w:rsidR="002C7AF6">
              <w:rPr>
                <w:spacing w:val="-2"/>
                <w:sz w:val="24"/>
              </w:rPr>
              <w:t xml:space="preserve"> ve H.4.5.</w:t>
            </w:r>
          </w:p>
        </w:tc>
        <w:tc>
          <w:tcPr>
            <w:tcW w:w="2835" w:type="dxa"/>
          </w:tcPr>
          <w:p w:rsidR="002C7AF6" w:rsidRDefault="002C7AF6" w:rsidP="00F24F82">
            <w:pPr>
              <w:pStyle w:val="NormalWeb"/>
              <w:shd w:val="clear" w:color="auto" w:fill="FFFFFF"/>
            </w:pPr>
          </w:p>
          <w:p w:rsidR="00F24F82" w:rsidRPr="00F24F82" w:rsidRDefault="00F24F82" w:rsidP="00F24F82">
            <w:pPr>
              <w:pStyle w:val="NormalWeb"/>
              <w:shd w:val="clear" w:color="auto" w:fill="FFFFFF"/>
            </w:pPr>
            <w:r w:rsidRPr="00F24F82">
              <w:t xml:space="preserve">İlan müracaatlarının sistem üzerinden alınması (akademik personel için) </w:t>
            </w:r>
          </w:p>
          <w:p w:rsidR="00867898" w:rsidRDefault="00867898" w:rsidP="00867898">
            <w:pPr>
              <w:pStyle w:val="TableParagraph"/>
              <w:ind w:left="109" w:right="41"/>
              <w:rPr>
                <w:sz w:val="24"/>
              </w:rPr>
            </w:pPr>
          </w:p>
        </w:tc>
        <w:tc>
          <w:tcPr>
            <w:tcW w:w="4112" w:type="dxa"/>
          </w:tcPr>
          <w:p w:rsidR="00867898" w:rsidRDefault="00867898" w:rsidP="00867898">
            <w:pPr>
              <w:pStyle w:val="TableParagraph"/>
              <w:rPr>
                <w:b/>
                <w:sz w:val="24"/>
              </w:rPr>
            </w:pPr>
          </w:p>
          <w:p w:rsidR="00867898" w:rsidRDefault="00867898" w:rsidP="0086789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67898" w:rsidRDefault="001E68A4" w:rsidP="00867898">
            <w:pPr>
              <w:pStyle w:val="TableParagraph"/>
              <w:ind w:left="143" w:right="100"/>
              <w:rPr>
                <w:sz w:val="24"/>
              </w:rPr>
            </w:pPr>
            <w:r>
              <w:rPr>
                <w:sz w:val="24"/>
              </w:rPr>
              <w:t>Konu hakkında uzman personelin yetersizliği</w:t>
            </w:r>
          </w:p>
        </w:tc>
        <w:tc>
          <w:tcPr>
            <w:tcW w:w="4965" w:type="dxa"/>
            <w:tcBorders>
              <w:bottom w:val="nil"/>
            </w:tcBorders>
            <w:shd w:val="clear" w:color="auto" w:fill="FF0000"/>
          </w:tcPr>
          <w:p w:rsidR="00867898" w:rsidRDefault="00F24F82" w:rsidP="00867898">
            <w:pPr>
              <w:pStyle w:val="TableParagraph"/>
              <w:spacing w:line="229" w:lineRule="exact"/>
              <w:ind w:left="87"/>
              <w:rPr>
                <w:sz w:val="24"/>
              </w:rPr>
            </w:pPr>
            <w:r>
              <w:rPr>
                <w:sz w:val="24"/>
              </w:rPr>
              <w:t xml:space="preserve"> Konuyla ilişkili olarak Bilgi İşlem Daire Başkanlığı ve di</w:t>
            </w:r>
            <w:r w:rsidR="002C7AF6">
              <w:rPr>
                <w:sz w:val="24"/>
              </w:rPr>
              <w:t>ğer Üniversiteler ile görüşmelerde</w:t>
            </w:r>
            <w:r>
              <w:rPr>
                <w:sz w:val="24"/>
              </w:rPr>
              <w:t xml:space="preserve"> bulun</w:t>
            </w:r>
            <w:r w:rsidR="002C7AF6">
              <w:rPr>
                <w:sz w:val="24"/>
              </w:rPr>
              <w:t>ul</w:t>
            </w:r>
            <w:r>
              <w:rPr>
                <w:sz w:val="24"/>
              </w:rPr>
              <w:t xml:space="preserve">muş </w:t>
            </w:r>
            <w:r w:rsidR="002C7AF6">
              <w:rPr>
                <w:sz w:val="24"/>
              </w:rPr>
              <w:t xml:space="preserve">olup, </w:t>
            </w:r>
            <w:r>
              <w:rPr>
                <w:sz w:val="24"/>
              </w:rPr>
              <w:t>sistemin sadece öğretim elemanı ve üyeleri haricinde idari personel sözleşmeli personeli de dikkate alarak bir alt yapı oluşturulması</w:t>
            </w:r>
            <w:r w:rsidR="002C7AF6">
              <w:rPr>
                <w:sz w:val="24"/>
              </w:rPr>
              <w:t>na ilişkin görüş</w:t>
            </w:r>
            <w:r>
              <w:rPr>
                <w:sz w:val="24"/>
              </w:rPr>
              <w:t xml:space="preserve"> birliğine varılmıştır.</w:t>
            </w:r>
            <w:r w:rsidR="002C7AF6">
              <w:rPr>
                <w:sz w:val="24"/>
              </w:rPr>
              <w:t xml:space="preserve"> İlerleyen </w:t>
            </w:r>
            <w:proofErr w:type="gramStart"/>
            <w:r w:rsidR="002C7AF6">
              <w:rPr>
                <w:sz w:val="24"/>
              </w:rPr>
              <w:t xml:space="preserve">süreçte </w:t>
            </w:r>
            <w:r>
              <w:rPr>
                <w:sz w:val="24"/>
              </w:rPr>
              <w:t xml:space="preserve"> Cumhurbaşkanlığı</w:t>
            </w:r>
            <w:proofErr w:type="gramEnd"/>
            <w:r>
              <w:rPr>
                <w:sz w:val="24"/>
              </w:rPr>
              <w:t xml:space="preserve"> İnsan Kaynakları Ofisi Kariyer Kapısı üzerinden </w:t>
            </w:r>
            <w:r w:rsidR="002C7AF6">
              <w:rPr>
                <w:sz w:val="24"/>
              </w:rPr>
              <w:t>sözleşme personel için online başvurular alınabilmektedir.</w:t>
            </w:r>
          </w:p>
        </w:tc>
      </w:tr>
    </w:tbl>
    <w:p w:rsidR="005E3649" w:rsidRDefault="005E3649">
      <w:pPr>
        <w:pStyle w:val="TableParagraph"/>
        <w:rPr>
          <w:sz w:val="20"/>
        </w:rPr>
        <w:sectPr w:rsidR="005E3649">
          <w:type w:val="continuous"/>
          <w:pgSz w:w="16850" w:h="11920" w:orient="landscape"/>
          <w:pgMar w:top="1340" w:right="1275" w:bottom="280" w:left="1559" w:header="708" w:footer="708" w:gutter="0"/>
          <w:cols w:space="708"/>
        </w:sectPr>
      </w:pPr>
    </w:p>
    <w:p w:rsidR="005E3649" w:rsidRDefault="005E3649">
      <w:pPr>
        <w:rPr>
          <w:b/>
          <w:sz w:val="20"/>
        </w:rPr>
      </w:pPr>
    </w:p>
    <w:p w:rsidR="005E3649" w:rsidRDefault="005E3649">
      <w:pPr>
        <w:spacing w:before="106"/>
        <w:rPr>
          <w:b/>
          <w:sz w:val="20"/>
        </w:rPr>
      </w:pPr>
    </w:p>
    <w:p w:rsidR="005E3649" w:rsidRDefault="00095308">
      <w:pPr>
        <w:tabs>
          <w:tab w:val="left" w:pos="3154"/>
          <w:tab w:val="left" w:pos="5176"/>
        </w:tabs>
        <w:ind w:left="421"/>
        <w:jc w:val="center"/>
        <w:rPr>
          <w:i/>
          <w:sz w:val="20"/>
        </w:rPr>
      </w:pPr>
      <w:r>
        <w:rPr>
          <w:i/>
          <w:noProof/>
          <w:sz w:val="20"/>
          <w:lang w:eastAsia="tr-TR"/>
        </w:rPr>
        <w:drawing>
          <wp:anchor distT="0" distB="0" distL="0" distR="0" simplePos="0" relativeHeight="487418880" behindDoc="1" locked="0" layoutInCell="1" allowOverlap="1">
            <wp:simplePos x="0" y="0"/>
            <wp:positionH relativeFrom="page">
              <wp:posOffset>4847716</wp:posOffset>
            </wp:positionH>
            <wp:positionV relativeFrom="paragraph">
              <wp:posOffset>-2755</wp:posOffset>
            </wp:positionV>
            <wp:extent cx="183514" cy="16179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4" cy="161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inline distT="0" distB="0" distL="0" distR="0">
            <wp:extent cx="170814" cy="15134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4" cy="15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rFonts w:ascii="Calibri" w:hAnsi="Calibri"/>
          <w:i/>
          <w:sz w:val="20"/>
        </w:rPr>
        <w:t>→</w:t>
      </w:r>
      <w:r>
        <w:rPr>
          <w:i/>
          <w:sz w:val="20"/>
        </w:rPr>
        <w:t>Hedefe Ulaşıldı</w:t>
      </w:r>
      <w:r>
        <w:rPr>
          <w:i/>
          <w:sz w:val="20"/>
        </w:rPr>
        <w:tab/>
      </w:r>
      <w:r>
        <w:rPr>
          <w:rFonts w:ascii="Calibri" w:hAnsi="Calibri"/>
          <w:i/>
          <w:sz w:val="20"/>
        </w:rPr>
        <w:t>→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i/>
          <w:sz w:val="20"/>
        </w:rPr>
        <w:t>Hedef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Sürüyor</w:t>
      </w:r>
      <w:r>
        <w:rPr>
          <w:i/>
          <w:sz w:val="20"/>
        </w:rPr>
        <w:tab/>
      </w:r>
      <w:r>
        <w:rPr>
          <w:i/>
          <w:noProof/>
          <w:sz w:val="20"/>
          <w:lang w:eastAsia="tr-TR"/>
        </w:rPr>
        <w:drawing>
          <wp:inline distT="0" distB="0" distL="0" distR="0">
            <wp:extent cx="194309" cy="17131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09" cy="17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→ </w:t>
      </w:r>
      <w:r>
        <w:rPr>
          <w:i/>
          <w:sz w:val="20"/>
        </w:rPr>
        <w:t>Hedefe Ulaşılamadı</w:t>
      </w:r>
    </w:p>
    <w:sectPr w:rsidR="005E3649">
      <w:pgSz w:w="16850" w:h="11920" w:orient="landscape"/>
      <w:pgMar w:top="1300" w:right="1275" w:bottom="280" w:left="15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49"/>
    <w:rsid w:val="000007B3"/>
    <w:rsid w:val="00095308"/>
    <w:rsid w:val="001B3A2D"/>
    <w:rsid w:val="001E68A4"/>
    <w:rsid w:val="002C7AF6"/>
    <w:rsid w:val="005E3649"/>
    <w:rsid w:val="00867898"/>
    <w:rsid w:val="00F24F82"/>
    <w:rsid w:val="00F9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8F51"/>
  <w15:docId w15:val="{DE54C71A-A211-4DC0-B9B3-6D746002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678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67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hp_eliteDesk</dc:creator>
  <cp:lastModifiedBy>LENOVO</cp:lastModifiedBy>
  <cp:revision>2</cp:revision>
  <dcterms:created xsi:type="dcterms:W3CDTF">2025-02-04T06:22:00Z</dcterms:created>
  <dcterms:modified xsi:type="dcterms:W3CDTF">2025-02-04T06:22:00Z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LTSC</vt:lpwstr>
  </property>
</Properties>
</file>